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E25E" w14:textId="77777777" w:rsidR="007C0103" w:rsidRDefault="003C2FAA" w:rsidP="00C21F14">
      <w:pPr>
        <w:spacing w:before="0" w:beforeAutospacing="0" w:after="120" w:afterAutospacing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6C9EE432" wp14:editId="26A53645">
            <wp:extent cx="5905500" cy="533400"/>
            <wp:effectExtent l="19050" t="0" r="0" b="0"/>
            <wp:docPr id="1" name="Picture 1" descr="http://www.dawsoncountyne.gov/Freeance/Client/PublicAccess1/themes/yellowGreen/images/dc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wsoncountyne.gov/Freeance/Client/PublicAccess1/themes/yellowGreen/images/dc_bann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103">
        <w:rPr>
          <w:rFonts w:ascii="Times New Roman" w:hAnsi="Times New Roman" w:cs="Times New Roman"/>
          <w:sz w:val="48"/>
          <w:szCs w:val="48"/>
        </w:rPr>
        <w:t xml:space="preserve"> ASSESSOR’S OFFICE</w:t>
      </w:r>
    </w:p>
    <w:p w14:paraId="4C002124" w14:textId="77777777" w:rsidR="007D755C" w:rsidRPr="00572494" w:rsidRDefault="00C21F14" w:rsidP="00C21F1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4211F5">
        <w:rPr>
          <w:rFonts w:ascii="Times New Roman" w:hAnsi="Times New Roman" w:cs="Times New Roman"/>
          <w:b/>
          <w:sz w:val="20"/>
          <w:szCs w:val="20"/>
        </w:rPr>
        <w:t>700 N Washington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A27AC" w:rsidRPr="004211F5">
        <w:rPr>
          <w:rFonts w:ascii="Times New Roman" w:hAnsi="Times New Roman" w:cs="Times New Roman"/>
          <w:b/>
          <w:sz w:val="32"/>
          <w:szCs w:val="32"/>
        </w:rPr>
        <w:t>Dawson County Courthouse</w:t>
      </w:r>
      <w:r w:rsidR="004211F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11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1F14">
        <w:rPr>
          <w:rFonts w:ascii="Times New Roman" w:hAnsi="Times New Roman" w:cs="Times New Roman"/>
          <w:b/>
          <w:sz w:val="20"/>
          <w:szCs w:val="20"/>
        </w:rPr>
        <w:t>Lexington, NE 68850</w:t>
      </w:r>
    </w:p>
    <w:p w14:paraId="3C04389F" w14:textId="2085A286" w:rsidR="007C0103" w:rsidRPr="00341E21" w:rsidRDefault="00187A84" w:rsidP="007E0154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  <w:lang w:val="pt-BR"/>
        </w:rPr>
      </w:pPr>
      <w:r w:rsidRPr="00341E21">
        <w:rPr>
          <w:rFonts w:ascii="Times New Roman" w:hAnsi="Times New Roman" w:cs="Times New Roman"/>
          <w:sz w:val="20"/>
          <w:szCs w:val="20"/>
          <w:lang w:val="pt-BR"/>
        </w:rPr>
        <w:t xml:space="preserve">Nic </w:t>
      </w:r>
      <w:proofErr w:type="spellStart"/>
      <w:r w:rsidRPr="00341E21">
        <w:rPr>
          <w:rFonts w:ascii="Times New Roman" w:hAnsi="Times New Roman" w:cs="Times New Roman"/>
          <w:sz w:val="20"/>
          <w:szCs w:val="20"/>
          <w:lang w:val="pt-BR"/>
        </w:rPr>
        <w:t>VanCura</w:t>
      </w:r>
      <w:proofErr w:type="spellEnd"/>
      <w:r w:rsidR="007C0103" w:rsidRPr="00341E21">
        <w:rPr>
          <w:rFonts w:ascii="Times New Roman" w:hAnsi="Times New Roman" w:cs="Times New Roman"/>
          <w:sz w:val="20"/>
          <w:szCs w:val="20"/>
          <w:lang w:val="pt-BR"/>
        </w:rPr>
        <w:t>,</w:t>
      </w:r>
      <w:r w:rsidRPr="00341E21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7C0103" w:rsidRPr="00341E21">
        <w:rPr>
          <w:rFonts w:ascii="Times New Roman" w:hAnsi="Times New Roman" w:cs="Times New Roman"/>
          <w:sz w:val="20"/>
          <w:szCs w:val="20"/>
          <w:lang w:val="pt-BR"/>
        </w:rPr>
        <w:t>Assessor</w:t>
      </w:r>
      <w:r w:rsidR="007E0154" w:rsidRPr="00341E21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Ashley </w:t>
      </w:r>
      <w:r w:rsidR="00D95AD6" w:rsidRPr="00341E21">
        <w:rPr>
          <w:rFonts w:ascii="Times New Roman" w:hAnsi="Times New Roman" w:cs="Times New Roman"/>
          <w:sz w:val="20"/>
          <w:szCs w:val="20"/>
          <w:lang w:val="pt-BR"/>
        </w:rPr>
        <w:t>Curtice</w:t>
      </w:r>
      <w:r w:rsidR="007E0154" w:rsidRPr="00341E21">
        <w:rPr>
          <w:rFonts w:ascii="Times New Roman" w:hAnsi="Times New Roman" w:cs="Times New Roman"/>
          <w:sz w:val="20"/>
          <w:szCs w:val="20"/>
          <w:lang w:val="pt-BR"/>
        </w:rPr>
        <w:t>, Deputy</w:t>
      </w:r>
    </w:p>
    <w:p w14:paraId="22FD40CA" w14:textId="77777777" w:rsidR="00A236CE" w:rsidRPr="00341E21" w:rsidRDefault="00A236CE" w:rsidP="008551C1">
      <w:pPr>
        <w:pBdr>
          <w:top w:val="single" w:sz="4" w:space="1" w:color="auto"/>
        </w:pBd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2A61AA78" w14:textId="7FD57629" w:rsidR="00A236CE" w:rsidRPr="00341E21" w:rsidRDefault="00A236CE" w:rsidP="00AE6A9F">
      <w:pPr>
        <w:pBdr>
          <w:top w:val="single" w:sz="4" w:space="1" w:color="auto"/>
        </w:pBd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0010BB51" w14:textId="77777777" w:rsidR="00B777F3" w:rsidRPr="00B777F3" w:rsidRDefault="00B777F3" w:rsidP="00B777F3">
      <w:pPr>
        <w:pBdr>
          <w:top w:val="single" w:sz="4" w:space="1" w:color="auto"/>
        </w:pBd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77F3">
        <w:rPr>
          <w:rFonts w:ascii="Times New Roman" w:hAnsi="Times New Roman" w:cs="Times New Roman"/>
          <w:b/>
          <w:bCs/>
          <w:sz w:val="32"/>
          <w:szCs w:val="32"/>
        </w:rPr>
        <w:t>NEWS RELEASE</w:t>
      </w:r>
    </w:p>
    <w:p w14:paraId="2C2D8053" w14:textId="2D24D3F1" w:rsidR="007214CB" w:rsidRPr="00B777F3" w:rsidRDefault="00B777F3" w:rsidP="00B777F3">
      <w:pPr>
        <w:pBdr>
          <w:top w:val="single" w:sz="4" w:space="1" w:color="auto"/>
        </w:pBd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69EC">
        <w:rPr>
          <w:rFonts w:ascii="Times New Roman" w:hAnsi="Times New Roman" w:cs="Times New Roman"/>
          <w:sz w:val="28"/>
          <w:szCs w:val="28"/>
        </w:rPr>
        <w:t xml:space="preserve">Valuation Notices will be hitting mailboxes very soon. </w:t>
      </w:r>
    </w:p>
    <w:p w14:paraId="0EC1BE03" w14:textId="39A32A3E" w:rsidR="00715929" w:rsidRPr="00C86B95" w:rsidRDefault="00715929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56EC0617" w14:textId="56733D12" w:rsidR="00345016" w:rsidRDefault="00715929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C86B95">
        <w:rPr>
          <w:rFonts w:ascii="Times New Roman" w:hAnsi="Times New Roman" w:cs="Times New Roman"/>
          <w:sz w:val="20"/>
          <w:szCs w:val="20"/>
        </w:rPr>
        <w:t xml:space="preserve">Appraisers, on behalf of the </w:t>
      </w:r>
      <w:r w:rsidR="00C65AEE" w:rsidRPr="00C86B95">
        <w:rPr>
          <w:rFonts w:ascii="Times New Roman" w:hAnsi="Times New Roman" w:cs="Times New Roman"/>
          <w:sz w:val="20"/>
          <w:szCs w:val="20"/>
        </w:rPr>
        <w:t>A</w:t>
      </w:r>
      <w:r w:rsidRPr="00C86B95">
        <w:rPr>
          <w:rFonts w:ascii="Times New Roman" w:hAnsi="Times New Roman" w:cs="Times New Roman"/>
          <w:sz w:val="20"/>
          <w:szCs w:val="20"/>
        </w:rPr>
        <w:t xml:space="preserve">ssessor, spent most of their time </w:t>
      </w:r>
      <w:r w:rsidR="00193480" w:rsidRPr="00C86B95">
        <w:rPr>
          <w:rFonts w:ascii="Times New Roman" w:hAnsi="Times New Roman" w:cs="Times New Roman"/>
          <w:sz w:val="20"/>
          <w:szCs w:val="20"/>
        </w:rPr>
        <w:t xml:space="preserve">in the </w:t>
      </w:r>
      <w:r w:rsidR="00300DA1" w:rsidRPr="00C86B95">
        <w:rPr>
          <w:rFonts w:ascii="Times New Roman" w:hAnsi="Times New Roman" w:cs="Times New Roman"/>
          <w:sz w:val="20"/>
          <w:szCs w:val="20"/>
        </w:rPr>
        <w:t>city</w:t>
      </w:r>
      <w:r w:rsidR="00E272BD">
        <w:rPr>
          <w:rFonts w:ascii="Times New Roman" w:hAnsi="Times New Roman" w:cs="Times New Roman"/>
          <w:sz w:val="20"/>
          <w:szCs w:val="20"/>
        </w:rPr>
        <w:t xml:space="preserve"> of </w:t>
      </w:r>
      <w:r w:rsidR="00E24E82">
        <w:rPr>
          <w:rFonts w:ascii="Times New Roman" w:hAnsi="Times New Roman" w:cs="Times New Roman"/>
          <w:sz w:val="20"/>
          <w:szCs w:val="20"/>
        </w:rPr>
        <w:t>Lexington</w:t>
      </w:r>
      <w:r w:rsidR="000A613E" w:rsidRPr="00C86B95">
        <w:rPr>
          <w:rFonts w:ascii="Times New Roman" w:hAnsi="Times New Roman" w:cs="Times New Roman"/>
          <w:sz w:val="20"/>
          <w:szCs w:val="20"/>
        </w:rPr>
        <w:t>.</w:t>
      </w:r>
      <w:r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0A613E" w:rsidRPr="00C86B95">
        <w:rPr>
          <w:rFonts w:ascii="Times New Roman" w:hAnsi="Times New Roman" w:cs="Times New Roman"/>
          <w:sz w:val="20"/>
          <w:szCs w:val="20"/>
        </w:rPr>
        <w:t>B</w:t>
      </w:r>
      <w:r w:rsidRPr="00C86B95">
        <w:rPr>
          <w:rFonts w:ascii="Times New Roman" w:hAnsi="Times New Roman" w:cs="Times New Roman"/>
          <w:sz w:val="20"/>
          <w:szCs w:val="20"/>
        </w:rPr>
        <w:t xml:space="preserve">eginning last fall, </w:t>
      </w:r>
      <w:r w:rsidR="00E272BD">
        <w:rPr>
          <w:rFonts w:ascii="Times New Roman" w:hAnsi="Times New Roman" w:cs="Times New Roman"/>
          <w:sz w:val="20"/>
          <w:szCs w:val="20"/>
        </w:rPr>
        <w:t>we</w:t>
      </w:r>
      <w:r w:rsidR="000A613E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Pr="00C86B95">
        <w:rPr>
          <w:rFonts w:ascii="Times New Roman" w:hAnsi="Times New Roman" w:cs="Times New Roman"/>
          <w:sz w:val="20"/>
          <w:szCs w:val="20"/>
        </w:rPr>
        <w:t>conduct</w:t>
      </w:r>
      <w:r w:rsidR="006940EE" w:rsidRPr="00C86B95">
        <w:rPr>
          <w:rFonts w:ascii="Times New Roman" w:hAnsi="Times New Roman" w:cs="Times New Roman"/>
          <w:sz w:val="20"/>
          <w:szCs w:val="20"/>
        </w:rPr>
        <w:t>ed</w:t>
      </w:r>
      <w:r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0A613E" w:rsidRPr="00C86B95">
        <w:rPr>
          <w:rFonts w:ascii="Times New Roman" w:hAnsi="Times New Roman" w:cs="Times New Roman"/>
          <w:sz w:val="20"/>
          <w:szCs w:val="20"/>
        </w:rPr>
        <w:t>on-site</w:t>
      </w:r>
      <w:r w:rsidRPr="00C86B95">
        <w:rPr>
          <w:rFonts w:ascii="Times New Roman" w:hAnsi="Times New Roman" w:cs="Times New Roman"/>
          <w:sz w:val="20"/>
          <w:szCs w:val="20"/>
        </w:rPr>
        <w:t xml:space="preserve"> inspections </w:t>
      </w:r>
      <w:r w:rsidR="00345016" w:rsidRPr="00C86B95">
        <w:rPr>
          <w:rFonts w:ascii="Times New Roman" w:hAnsi="Times New Roman" w:cs="Times New Roman"/>
          <w:sz w:val="20"/>
          <w:szCs w:val="20"/>
        </w:rPr>
        <w:t>of</w:t>
      </w:r>
      <w:r w:rsidR="007C0798" w:rsidRPr="00C86B95">
        <w:rPr>
          <w:rFonts w:ascii="Times New Roman" w:hAnsi="Times New Roman" w:cs="Times New Roman"/>
          <w:sz w:val="20"/>
          <w:szCs w:val="20"/>
        </w:rPr>
        <w:t xml:space="preserve"> all</w:t>
      </w:r>
      <w:r w:rsidR="00046A74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6940EE" w:rsidRPr="00C86B95">
        <w:rPr>
          <w:rFonts w:ascii="Times New Roman" w:hAnsi="Times New Roman" w:cs="Times New Roman"/>
          <w:sz w:val="20"/>
          <w:szCs w:val="20"/>
        </w:rPr>
        <w:t>r</w:t>
      </w:r>
      <w:r w:rsidR="00046A74" w:rsidRPr="00C86B95">
        <w:rPr>
          <w:rFonts w:ascii="Times New Roman" w:hAnsi="Times New Roman" w:cs="Times New Roman"/>
          <w:sz w:val="20"/>
          <w:szCs w:val="20"/>
        </w:rPr>
        <w:t xml:space="preserve">esidential </w:t>
      </w:r>
      <w:r w:rsidR="005A2EC4" w:rsidRPr="00C86B95">
        <w:rPr>
          <w:rFonts w:ascii="Times New Roman" w:hAnsi="Times New Roman" w:cs="Times New Roman"/>
          <w:sz w:val="20"/>
          <w:szCs w:val="20"/>
        </w:rPr>
        <w:t>d</w:t>
      </w:r>
      <w:r w:rsidR="00046A74" w:rsidRPr="00C86B95">
        <w:rPr>
          <w:rFonts w:ascii="Times New Roman" w:hAnsi="Times New Roman" w:cs="Times New Roman"/>
          <w:sz w:val="20"/>
          <w:szCs w:val="20"/>
        </w:rPr>
        <w:t>wellings</w:t>
      </w:r>
      <w:r w:rsidR="005A2EC4" w:rsidRPr="00C86B95">
        <w:rPr>
          <w:rFonts w:ascii="Times New Roman" w:hAnsi="Times New Roman" w:cs="Times New Roman"/>
          <w:sz w:val="20"/>
          <w:szCs w:val="20"/>
        </w:rPr>
        <w:t xml:space="preserve"> and</w:t>
      </w:r>
      <w:r w:rsidR="00345016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5A2EC4" w:rsidRPr="00C86B95">
        <w:rPr>
          <w:rFonts w:ascii="Times New Roman" w:hAnsi="Times New Roman" w:cs="Times New Roman"/>
          <w:sz w:val="20"/>
          <w:szCs w:val="20"/>
        </w:rPr>
        <w:t>out</w:t>
      </w:r>
      <w:r w:rsidR="000A613E" w:rsidRPr="00C86B95">
        <w:rPr>
          <w:rFonts w:ascii="Times New Roman" w:hAnsi="Times New Roman" w:cs="Times New Roman"/>
          <w:sz w:val="20"/>
          <w:szCs w:val="20"/>
        </w:rPr>
        <w:t>buildings</w:t>
      </w:r>
      <w:r w:rsidR="00445EBB" w:rsidRPr="00C86B95">
        <w:rPr>
          <w:rFonts w:ascii="Times New Roman" w:hAnsi="Times New Roman" w:cs="Times New Roman"/>
          <w:sz w:val="20"/>
          <w:szCs w:val="20"/>
        </w:rPr>
        <w:t xml:space="preserve">. </w:t>
      </w:r>
      <w:r w:rsidR="006940EE" w:rsidRPr="00C86B95">
        <w:rPr>
          <w:rFonts w:ascii="Times New Roman" w:hAnsi="Times New Roman" w:cs="Times New Roman"/>
          <w:sz w:val="20"/>
          <w:szCs w:val="20"/>
        </w:rPr>
        <w:t>Building</w:t>
      </w:r>
      <w:r w:rsidR="00D41AE0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1C56A8">
        <w:rPr>
          <w:rFonts w:ascii="Times New Roman" w:hAnsi="Times New Roman" w:cs="Times New Roman"/>
          <w:sz w:val="20"/>
          <w:szCs w:val="20"/>
        </w:rPr>
        <w:t>data was</w:t>
      </w:r>
      <w:r w:rsidR="00D41AE0" w:rsidRPr="00C86B95">
        <w:rPr>
          <w:rFonts w:ascii="Times New Roman" w:hAnsi="Times New Roman" w:cs="Times New Roman"/>
          <w:sz w:val="20"/>
          <w:szCs w:val="20"/>
        </w:rPr>
        <w:t xml:space="preserve"> verified and corrected if necessary. </w:t>
      </w:r>
      <w:r w:rsidR="00263B7D" w:rsidRPr="00C86B95">
        <w:rPr>
          <w:rFonts w:ascii="Times New Roman" w:hAnsi="Times New Roman" w:cs="Times New Roman"/>
          <w:sz w:val="20"/>
          <w:szCs w:val="20"/>
        </w:rPr>
        <w:t>Also, after a</w:t>
      </w:r>
      <w:r w:rsidR="00DA6908" w:rsidRPr="00C86B95">
        <w:rPr>
          <w:rFonts w:ascii="Times New Roman" w:hAnsi="Times New Roman" w:cs="Times New Roman"/>
          <w:sz w:val="20"/>
          <w:szCs w:val="20"/>
        </w:rPr>
        <w:t xml:space="preserve"> neighborhood</w:t>
      </w:r>
      <w:r w:rsidR="000A613E" w:rsidRPr="00C86B95">
        <w:rPr>
          <w:rFonts w:ascii="Times New Roman" w:hAnsi="Times New Roman" w:cs="Times New Roman"/>
          <w:sz w:val="20"/>
          <w:szCs w:val="20"/>
        </w:rPr>
        <w:t xml:space="preserve"> and</w:t>
      </w:r>
      <w:r w:rsidR="00DA6908" w:rsidRPr="00C86B9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A6908" w:rsidRPr="00C86B95">
        <w:rPr>
          <w:rFonts w:ascii="Times New Roman" w:hAnsi="Times New Roman" w:cs="Times New Roman"/>
          <w:sz w:val="20"/>
          <w:szCs w:val="20"/>
        </w:rPr>
        <w:t>l</w:t>
      </w:r>
      <w:r w:rsidR="00E272BD">
        <w:rPr>
          <w:rFonts w:ascii="Times New Roman" w:hAnsi="Times New Roman" w:cs="Times New Roman"/>
          <w:sz w:val="20"/>
          <w:szCs w:val="20"/>
        </w:rPr>
        <w:t>ot</w:t>
      </w:r>
      <w:proofErr w:type="gramEnd"/>
      <w:r w:rsidR="00DA6908" w:rsidRPr="00C86B95">
        <w:rPr>
          <w:rFonts w:ascii="Times New Roman" w:hAnsi="Times New Roman" w:cs="Times New Roman"/>
          <w:sz w:val="20"/>
          <w:szCs w:val="20"/>
        </w:rPr>
        <w:t xml:space="preserve"> study was completed</w:t>
      </w:r>
      <w:r w:rsidR="00A24D61" w:rsidRPr="00C86B95">
        <w:rPr>
          <w:rFonts w:ascii="Times New Roman" w:hAnsi="Times New Roman" w:cs="Times New Roman"/>
          <w:sz w:val="20"/>
          <w:szCs w:val="20"/>
        </w:rPr>
        <w:t xml:space="preserve">, </w:t>
      </w:r>
      <w:r w:rsidR="007462E1" w:rsidRPr="00C86B95">
        <w:rPr>
          <w:rFonts w:ascii="Times New Roman" w:hAnsi="Times New Roman" w:cs="Times New Roman"/>
          <w:sz w:val="20"/>
          <w:szCs w:val="20"/>
        </w:rPr>
        <w:t>a new lot</w:t>
      </w:r>
      <w:r w:rsidR="00BB595B" w:rsidRPr="00C86B95">
        <w:rPr>
          <w:rFonts w:ascii="Times New Roman" w:hAnsi="Times New Roman" w:cs="Times New Roman"/>
          <w:sz w:val="20"/>
          <w:szCs w:val="20"/>
        </w:rPr>
        <w:t xml:space="preserve"> model was built and applied</w:t>
      </w:r>
      <w:r w:rsidR="00E272BD">
        <w:rPr>
          <w:rFonts w:ascii="Times New Roman" w:hAnsi="Times New Roman" w:cs="Times New Roman"/>
          <w:sz w:val="20"/>
          <w:szCs w:val="20"/>
        </w:rPr>
        <w:t xml:space="preserve"> for equalization in </w:t>
      </w:r>
      <w:r w:rsidR="00E24E82">
        <w:rPr>
          <w:rFonts w:ascii="Times New Roman" w:hAnsi="Times New Roman" w:cs="Times New Roman"/>
          <w:sz w:val="20"/>
          <w:szCs w:val="20"/>
        </w:rPr>
        <w:t>the City of Lexington</w:t>
      </w:r>
      <w:r w:rsidR="00BB595B" w:rsidRPr="00C86B95">
        <w:rPr>
          <w:rFonts w:ascii="Times New Roman" w:hAnsi="Times New Roman" w:cs="Times New Roman"/>
          <w:sz w:val="20"/>
          <w:szCs w:val="20"/>
        </w:rPr>
        <w:t>.</w:t>
      </w:r>
      <w:r w:rsidR="00E272BD">
        <w:rPr>
          <w:rFonts w:ascii="Times New Roman" w:hAnsi="Times New Roman" w:cs="Times New Roman"/>
          <w:sz w:val="20"/>
          <w:szCs w:val="20"/>
        </w:rPr>
        <w:t xml:space="preserve"> The properties</w:t>
      </w:r>
      <w:r w:rsidR="00E24E82">
        <w:rPr>
          <w:rFonts w:ascii="Times New Roman" w:hAnsi="Times New Roman" w:cs="Times New Roman"/>
          <w:sz w:val="20"/>
          <w:szCs w:val="20"/>
        </w:rPr>
        <w:t xml:space="preserve"> affected by the storm in summer of 2024, mainly in Cozad, </w:t>
      </w:r>
      <w:r w:rsidR="00E272BD">
        <w:rPr>
          <w:rFonts w:ascii="Times New Roman" w:hAnsi="Times New Roman" w:cs="Times New Roman"/>
          <w:sz w:val="20"/>
          <w:szCs w:val="20"/>
        </w:rPr>
        <w:t>were all reviewed again this year and either marked complete or moved to be reviewed again for 202</w:t>
      </w:r>
      <w:r w:rsidR="00E24E82">
        <w:rPr>
          <w:rFonts w:ascii="Times New Roman" w:hAnsi="Times New Roman" w:cs="Times New Roman"/>
          <w:sz w:val="20"/>
          <w:szCs w:val="20"/>
        </w:rPr>
        <w:t>7</w:t>
      </w:r>
      <w:r w:rsidR="00E272B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274565" w14:textId="77777777" w:rsidR="00860AA8" w:rsidRDefault="00860AA8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40639B27" w14:textId="25636BA8" w:rsidR="00860AA8" w:rsidRPr="00C86B95" w:rsidRDefault="00860AA8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Residential properties at Johnson Lake and Cozad were updated to a more current cost table to be </w:t>
      </w:r>
      <w:r w:rsidR="00162248">
        <w:rPr>
          <w:rFonts w:ascii="Times New Roman" w:hAnsi="Times New Roman" w:cs="Times New Roman"/>
          <w:sz w:val="20"/>
          <w:szCs w:val="20"/>
        </w:rPr>
        <w:t>in line</w:t>
      </w:r>
      <w:r>
        <w:rPr>
          <w:rFonts w:ascii="Times New Roman" w:hAnsi="Times New Roman" w:cs="Times New Roman"/>
          <w:sz w:val="20"/>
          <w:szCs w:val="20"/>
        </w:rPr>
        <w:t xml:space="preserve"> with all other residential property in the county. All </w:t>
      </w:r>
      <w:r w:rsidR="00F32365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ommercial</w:t>
      </w:r>
      <w:r w:rsidR="00F32365">
        <w:rPr>
          <w:rFonts w:ascii="Times New Roman" w:hAnsi="Times New Roman" w:cs="Times New Roman"/>
          <w:sz w:val="20"/>
          <w:szCs w:val="20"/>
        </w:rPr>
        <w:t xml:space="preserve"> properties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="00F32365">
        <w:rPr>
          <w:rFonts w:ascii="Times New Roman" w:hAnsi="Times New Roman" w:cs="Times New Roman"/>
          <w:sz w:val="20"/>
          <w:szCs w:val="20"/>
        </w:rPr>
        <w:t>ere</w:t>
      </w:r>
      <w:r>
        <w:rPr>
          <w:rFonts w:ascii="Times New Roman" w:hAnsi="Times New Roman" w:cs="Times New Roman"/>
          <w:sz w:val="20"/>
          <w:szCs w:val="20"/>
        </w:rPr>
        <w:t xml:space="preserve"> also updated to a </w:t>
      </w:r>
      <w:r w:rsidR="00162248">
        <w:rPr>
          <w:rFonts w:ascii="Times New Roman" w:hAnsi="Times New Roman" w:cs="Times New Roman"/>
          <w:sz w:val="20"/>
          <w:szCs w:val="20"/>
        </w:rPr>
        <w:t>more current cost table as well. This will result in</w:t>
      </w:r>
      <w:r w:rsidR="00AB2976">
        <w:rPr>
          <w:rFonts w:ascii="Times New Roman" w:hAnsi="Times New Roman" w:cs="Times New Roman"/>
          <w:sz w:val="20"/>
          <w:szCs w:val="20"/>
        </w:rPr>
        <w:t xml:space="preserve"> </w:t>
      </w:r>
      <w:r w:rsidR="00162248">
        <w:rPr>
          <w:rFonts w:ascii="Times New Roman" w:hAnsi="Times New Roman" w:cs="Times New Roman"/>
          <w:sz w:val="20"/>
          <w:szCs w:val="20"/>
        </w:rPr>
        <w:t xml:space="preserve">changes in value to these areas/classes as well. </w:t>
      </w:r>
    </w:p>
    <w:p w14:paraId="3C395802" w14:textId="77777777" w:rsidR="00BB595B" w:rsidRPr="00C86B95" w:rsidRDefault="00BB595B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5905F3CB" w14:textId="3C7AFAF0" w:rsidR="00345016" w:rsidRPr="00C86B95" w:rsidRDefault="00E272BD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After</w:t>
      </w:r>
      <w:r w:rsidR="00221914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464726" w:rsidRPr="00C86B95">
        <w:rPr>
          <w:rFonts w:ascii="Times New Roman" w:hAnsi="Times New Roman" w:cs="Times New Roman"/>
          <w:sz w:val="20"/>
          <w:szCs w:val="20"/>
        </w:rPr>
        <w:t xml:space="preserve">reviewing all </w:t>
      </w:r>
      <w:r>
        <w:rPr>
          <w:rFonts w:ascii="Times New Roman" w:hAnsi="Times New Roman" w:cs="Times New Roman"/>
          <w:sz w:val="20"/>
          <w:szCs w:val="20"/>
        </w:rPr>
        <w:t xml:space="preserve">arm length </w:t>
      </w:r>
      <w:r w:rsidR="00464726" w:rsidRPr="00C86B95">
        <w:rPr>
          <w:rFonts w:ascii="Times New Roman" w:hAnsi="Times New Roman" w:cs="Times New Roman"/>
          <w:sz w:val="20"/>
          <w:szCs w:val="20"/>
        </w:rPr>
        <w:t>sales</w:t>
      </w:r>
      <w:r w:rsidR="00221914" w:rsidRPr="00C86B95">
        <w:rPr>
          <w:rFonts w:ascii="Times New Roman" w:hAnsi="Times New Roman" w:cs="Times New Roman"/>
          <w:sz w:val="20"/>
          <w:szCs w:val="20"/>
        </w:rPr>
        <w:t>,</w:t>
      </w:r>
      <w:r w:rsidR="009744BD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FA6D34" w:rsidRPr="00C86B95">
        <w:rPr>
          <w:rFonts w:ascii="Times New Roman" w:hAnsi="Times New Roman" w:cs="Times New Roman"/>
          <w:sz w:val="20"/>
          <w:szCs w:val="20"/>
        </w:rPr>
        <w:t>the following increases needed to be made</w:t>
      </w:r>
      <w:r w:rsidR="000523C7" w:rsidRPr="00C86B95">
        <w:rPr>
          <w:rFonts w:ascii="Times New Roman" w:hAnsi="Times New Roman" w:cs="Times New Roman"/>
          <w:sz w:val="20"/>
          <w:szCs w:val="20"/>
        </w:rPr>
        <w:t xml:space="preserve"> to residential </w:t>
      </w:r>
      <w:r w:rsidR="00AD0F2E" w:rsidRPr="00C86B95">
        <w:rPr>
          <w:rFonts w:ascii="Times New Roman" w:hAnsi="Times New Roman" w:cs="Times New Roman"/>
          <w:sz w:val="20"/>
          <w:szCs w:val="20"/>
        </w:rPr>
        <w:t>property</w:t>
      </w:r>
      <w:r w:rsidR="00FA6D34" w:rsidRPr="00C86B95">
        <w:rPr>
          <w:rFonts w:ascii="Times New Roman" w:hAnsi="Times New Roman" w:cs="Times New Roman"/>
          <w:sz w:val="20"/>
          <w:szCs w:val="20"/>
        </w:rPr>
        <w:t>:</w:t>
      </w:r>
    </w:p>
    <w:p w14:paraId="14E74E94" w14:textId="77777777" w:rsidR="00FA6D34" w:rsidRPr="00C86B95" w:rsidRDefault="00FA6D34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180A30A6" w14:textId="77777777" w:rsidR="0071080E" w:rsidRPr="00C86B95" w:rsidRDefault="0071080E" w:rsidP="00715929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  <w:sectPr w:rsidR="0071080E" w:rsidRPr="00C86B95" w:rsidSect="002B4A01">
          <w:footerReference w:type="default" r:id="rId11"/>
          <w:pgSz w:w="12240" w:h="15840" w:code="1"/>
          <w:pgMar w:top="1152" w:right="1440" w:bottom="1152" w:left="1440" w:header="720" w:footer="720" w:gutter="0"/>
          <w:cols w:space="720"/>
          <w:docGrid w:linePitch="360"/>
        </w:sectPr>
      </w:pPr>
    </w:p>
    <w:p w14:paraId="36293AC2" w14:textId="54F12922" w:rsidR="00E84AD1" w:rsidRPr="005669B9" w:rsidRDefault="002370D8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Cozad Rural </w:t>
      </w:r>
      <w:r w:rsidR="005A515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E84AD1"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10FA603C" w14:textId="3FD7BD3C" w:rsidR="009744BD" w:rsidRDefault="000937C2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Gothenburg Rural </w:t>
      </w:r>
      <w:r w:rsidR="005A515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285AD774" w14:textId="5DE81E11" w:rsidR="00E24E82" w:rsidRPr="005669B9" w:rsidRDefault="00E24E82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Lexington Rural </w:t>
      </w:r>
      <w:r w:rsidR="005A515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3%</w:t>
      </w:r>
    </w:p>
    <w:p w14:paraId="67963EC3" w14:textId="616DC611" w:rsidR="00AD0F2E" w:rsidRPr="005669B9" w:rsidRDefault="00AD0F2E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Overton </w:t>
      </w:r>
      <w:r w:rsidR="005A515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D02BF1"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D02BF1"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161C0737" w14:textId="23581677" w:rsidR="00D02BF1" w:rsidRPr="005669B9" w:rsidRDefault="00D02BF1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Overton Rural </w:t>
      </w:r>
      <w:r w:rsidR="005A515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64C38384" w14:textId="26819713" w:rsidR="001A1DF3" w:rsidRDefault="001A1DF3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669B9">
        <w:rPr>
          <w:rFonts w:ascii="Times New Roman" w:hAnsi="Times New Roman" w:cs="Times New Roman"/>
          <w:i/>
          <w:iCs/>
          <w:sz w:val="20"/>
          <w:szCs w:val="20"/>
        </w:rPr>
        <w:t>Sumner Rural</w:t>
      </w:r>
      <w:r w:rsidR="005A5150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530EBA01" w14:textId="28AA571D" w:rsidR="00E24E82" w:rsidRPr="005A5150" w:rsidRDefault="00E24E82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Sumner </w:t>
      </w:r>
      <w:r w:rsidR="005A5150"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 </w:t>
      </w:r>
      <w:r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>8%</w:t>
      </w:r>
    </w:p>
    <w:p w14:paraId="07C2B4CF" w14:textId="6C2F96C0" w:rsidR="00E24E82" w:rsidRPr="005A5150" w:rsidRDefault="00E24E82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Farnam </w:t>
      </w:r>
      <w:r w:rsidR="005A5150"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 </w:t>
      </w:r>
      <w:r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>8%</w:t>
      </w:r>
    </w:p>
    <w:p w14:paraId="49D059D8" w14:textId="62DE9367" w:rsidR="00543B99" w:rsidRPr="005A5150" w:rsidRDefault="00E24E82" w:rsidP="005669B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>Farnam Rural</w:t>
      </w:r>
      <w:r w:rsid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 xml:space="preserve">   </w:t>
      </w:r>
      <w:r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>8</w:t>
      </w:r>
      <w:r w:rsidR="00543B99" w:rsidRPr="005A5150">
        <w:rPr>
          <w:rFonts w:ascii="Times New Roman" w:hAnsi="Times New Roman" w:cs="Times New Roman"/>
          <w:i/>
          <w:iCs/>
          <w:sz w:val="20"/>
          <w:szCs w:val="20"/>
          <w:lang w:val="pt-BR"/>
        </w:rPr>
        <w:t>%</w:t>
      </w:r>
    </w:p>
    <w:p w14:paraId="74CA4572" w14:textId="77777777" w:rsidR="00E24E82" w:rsidRPr="005A5150" w:rsidRDefault="00E24E82" w:rsidP="000A5029">
      <w:pPr>
        <w:spacing w:before="0" w:beforeAutospacing="0" w:after="0" w:afterAutospacing="0"/>
        <w:contextualSpacing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</w:p>
    <w:p w14:paraId="59F921FA" w14:textId="4C354E0D" w:rsidR="00E24E82" w:rsidRPr="00B777F3" w:rsidRDefault="00E24E82" w:rsidP="000A5029">
      <w:pPr>
        <w:spacing w:before="0" w:beforeAutospacing="0" w:after="0" w:afterAutospacing="0"/>
        <w:contextualSpacing/>
        <w:rPr>
          <w:rFonts w:ascii="Times New Roman" w:hAnsi="Times New Roman" w:cs="Times New Roman"/>
          <w:i/>
          <w:iCs/>
          <w:sz w:val="20"/>
          <w:szCs w:val="20"/>
        </w:rPr>
        <w:sectPr w:rsidR="00E24E82" w:rsidRPr="00B777F3" w:rsidSect="00B7230E">
          <w:type w:val="continuous"/>
          <w:pgSz w:w="12240" w:h="15840" w:code="1"/>
          <w:pgMar w:top="1152" w:right="1440" w:bottom="1152" w:left="1440" w:header="720" w:footer="720" w:gutter="0"/>
          <w:cols w:num="3" w:space="720"/>
          <w:docGrid w:linePitch="360"/>
        </w:sectPr>
      </w:pPr>
      <w:r w:rsidRPr="00B777F3">
        <w:rPr>
          <w:rFonts w:ascii="Times New Roman" w:hAnsi="Times New Roman" w:cs="Times New Roman"/>
          <w:i/>
          <w:iCs/>
          <w:sz w:val="20"/>
          <w:szCs w:val="20"/>
        </w:rPr>
        <w:t>Eddyville</w:t>
      </w:r>
      <w:r w:rsidR="005A5150" w:rsidRPr="00B777F3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B777F3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="00B777F3" w:rsidRPr="00B777F3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6CBD6F83" w14:textId="77777777" w:rsidR="001A1DF3" w:rsidRPr="00B777F3" w:rsidRDefault="001A1DF3" w:rsidP="000A5029">
      <w:pPr>
        <w:spacing w:before="0" w:beforeAutospacing="0" w:after="0" w:afterAutospacing="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52D285D3" w14:textId="2006FCBF" w:rsidR="00701A2A" w:rsidRPr="00C86B95" w:rsidRDefault="001A1DF3" w:rsidP="000A502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C86B95">
        <w:rPr>
          <w:rFonts w:ascii="Times New Roman" w:hAnsi="Times New Roman" w:cs="Times New Roman"/>
          <w:sz w:val="20"/>
          <w:szCs w:val="20"/>
        </w:rPr>
        <w:t>The</w:t>
      </w:r>
      <w:r w:rsidR="00510F40" w:rsidRPr="00C86B95">
        <w:rPr>
          <w:rFonts w:ascii="Times New Roman" w:hAnsi="Times New Roman" w:cs="Times New Roman"/>
          <w:sz w:val="20"/>
          <w:szCs w:val="20"/>
        </w:rPr>
        <w:t xml:space="preserve"> following adjustments were made </w:t>
      </w:r>
      <w:r w:rsidR="00A37356" w:rsidRPr="00C86B95">
        <w:rPr>
          <w:rFonts w:ascii="Times New Roman" w:hAnsi="Times New Roman" w:cs="Times New Roman"/>
          <w:sz w:val="20"/>
          <w:szCs w:val="20"/>
        </w:rPr>
        <w:t>to</w:t>
      </w:r>
      <w:r w:rsidR="00701A2A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DB3C0A" w:rsidRPr="00C86B95">
        <w:rPr>
          <w:rFonts w:ascii="Times New Roman" w:hAnsi="Times New Roman" w:cs="Times New Roman"/>
          <w:sz w:val="20"/>
          <w:szCs w:val="20"/>
        </w:rPr>
        <w:t>a</w:t>
      </w:r>
      <w:r w:rsidR="00A70040" w:rsidRPr="00C86B95">
        <w:rPr>
          <w:rFonts w:ascii="Times New Roman" w:hAnsi="Times New Roman" w:cs="Times New Roman"/>
          <w:sz w:val="20"/>
          <w:szCs w:val="20"/>
        </w:rPr>
        <w:t>gricultural</w:t>
      </w:r>
      <w:r w:rsidR="00510F40" w:rsidRPr="00C86B95">
        <w:rPr>
          <w:rFonts w:ascii="Times New Roman" w:hAnsi="Times New Roman" w:cs="Times New Roman"/>
          <w:sz w:val="20"/>
          <w:szCs w:val="20"/>
        </w:rPr>
        <w:t xml:space="preserve"> </w:t>
      </w:r>
      <w:r w:rsidR="00DB3C0A" w:rsidRPr="00C86B95">
        <w:rPr>
          <w:rFonts w:ascii="Times New Roman" w:hAnsi="Times New Roman" w:cs="Times New Roman"/>
          <w:sz w:val="20"/>
          <w:szCs w:val="20"/>
        </w:rPr>
        <w:t>l</w:t>
      </w:r>
      <w:r w:rsidR="00A70040" w:rsidRPr="00C86B95">
        <w:rPr>
          <w:rFonts w:ascii="Times New Roman" w:hAnsi="Times New Roman" w:cs="Times New Roman"/>
          <w:sz w:val="20"/>
          <w:szCs w:val="20"/>
        </w:rPr>
        <w:t>and</w:t>
      </w:r>
      <w:r w:rsidR="00701A2A" w:rsidRPr="00C86B95">
        <w:rPr>
          <w:rFonts w:ascii="Times New Roman" w:hAnsi="Times New Roman" w:cs="Times New Roman"/>
          <w:sz w:val="20"/>
          <w:szCs w:val="20"/>
        </w:rPr>
        <w:t xml:space="preserve"> by type: </w:t>
      </w:r>
    </w:p>
    <w:p w14:paraId="17EF4CBB" w14:textId="77777777" w:rsidR="008E640C" w:rsidRDefault="008E640C" w:rsidP="000A502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27CB0A83" w14:textId="77777777" w:rsidR="00347D95" w:rsidRDefault="00347D95" w:rsidP="0003690B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  <w:sectPr w:rsidR="00347D95" w:rsidSect="0071080E">
          <w:type w:val="continuous"/>
          <w:pgSz w:w="12240" w:h="15840" w:code="1"/>
          <w:pgMar w:top="1152" w:right="1440" w:bottom="1152" w:left="1440" w:header="720" w:footer="720" w:gutter="0"/>
          <w:cols w:space="720"/>
          <w:docGrid w:linePitch="360"/>
        </w:sectPr>
      </w:pPr>
    </w:p>
    <w:p w14:paraId="08A07937" w14:textId="7A47D544" w:rsidR="00754284" w:rsidRPr="005669B9" w:rsidRDefault="00701A2A" w:rsidP="00E24E82">
      <w:pPr>
        <w:spacing w:before="0" w:beforeAutospacing="0" w:after="0" w:afterAutospacing="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669B9">
        <w:rPr>
          <w:rFonts w:ascii="Times New Roman" w:hAnsi="Times New Roman" w:cs="Times New Roman"/>
          <w:i/>
          <w:iCs/>
          <w:sz w:val="20"/>
          <w:szCs w:val="20"/>
        </w:rPr>
        <w:t>Grass</w:t>
      </w:r>
      <w:r w:rsidR="00754284"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C0CBA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754284"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</w:t>
      </w:r>
      <w:r w:rsidR="00754284" w:rsidRPr="005669B9">
        <w:rPr>
          <w:rFonts w:ascii="Times New Roman" w:hAnsi="Times New Roman" w:cs="Times New Roman"/>
          <w:i/>
          <w:iCs/>
          <w:sz w:val="20"/>
          <w:szCs w:val="20"/>
        </w:rPr>
        <w:t xml:space="preserve">Irrigated </w:t>
      </w:r>
      <w:r w:rsidR="00FC0CBA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E24E82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="00754284" w:rsidRPr="005669B9">
        <w:rPr>
          <w:rFonts w:ascii="Times New Roman" w:hAnsi="Times New Roman" w:cs="Times New Roman"/>
          <w:i/>
          <w:iCs/>
          <w:sz w:val="20"/>
          <w:szCs w:val="20"/>
        </w:rPr>
        <w:t>%</w:t>
      </w:r>
    </w:p>
    <w:p w14:paraId="6ED00CAA" w14:textId="77777777" w:rsidR="00543B99" w:rsidRPr="00C86B95" w:rsidRDefault="00543B99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43D58B35" w14:textId="0C772009" w:rsidR="00AF6B85" w:rsidRPr="00C86B95" w:rsidRDefault="00AF6B85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C86B95">
        <w:rPr>
          <w:rFonts w:ascii="Times New Roman" w:hAnsi="Times New Roman" w:cs="Times New Roman"/>
          <w:sz w:val="20"/>
          <w:szCs w:val="20"/>
        </w:rPr>
        <w:t>State guidelines require</w:t>
      </w:r>
      <w:r w:rsidR="00F43136" w:rsidRPr="00C86B95">
        <w:rPr>
          <w:rFonts w:ascii="Times New Roman" w:hAnsi="Times New Roman" w:cs="Times New Roman"/>
          <w:sz w:val="20"/>
          <w:szCs w:val="20"/>
        </w:rPr>
        <w:t xml:space="preserve"> that all</w:t>
      </w:r>
      <w:r w:rsidRPr="00C86B95">
        <w:rPr>
          <w:rFonts w:ascii="Times New Roman" w:hAnsi="Times New Roman" w:cs="Times New Roman"/>
          <w:sz w:val="20"/>
          <w:szCs w:val="20"/>
        </w:rPr>
        <w:t xml:space="preserve"> property must be examined at least every </w:t>
      </w:r>
      <w:r w:rsidRPr="004237D6">
        <w:rPr>
          <w:rFonts w:ascii="Times New Roman" w:hAnsi="Times New Roman" w:cs="Times New Roman"/>
          <w:sz w:val="20"/>
          <w:szCs w:val="20"/>
        </w:rPr>
        <w:t>six</w:t>
      </w:r>
      <w:r w:rsidRPr="00C86B95">
        <w:rPr>
          <w:rFonts w:ascii="Times New Roman" w:hAnsi="Times New Roman" w:cs="Times New Roman"/>
          <w:sz w:val="20"/>
          <w:szCs w:val="20"/>
        </w:rPr>
        <w:t xml:space="preserve"> years. Generally, </w:t>
      </w:r>
      <w:r w:rsidR="00F43136" w:rsidRPr="00C86B95">
        <w:rPr>
          <w:rFonts w:ascii="Times New Roman" w:hAnsi="Times New Roman" w:cs="Times New Roman"/>
          <w:sz w:val="20"/>
          <w:szCs w:val="20"/>
        </w:rPr>
        <w:t xml:space="preserve">due to market forces </w:t>
      </w:r>
      <w:r w:rsidRPr="00C86B95">
        <w:rPr>
          <w:rFonts w:ascii="Times New Roman" w:hAnsi="Times New Roman" w:cs="Times New Roman"/>
          <w:sz w:val="20"/>
          <w:szCs w:val="20"/>
        </w:rPr>
        <w:t xml:space="preserve">it takes fewer years before </w:t>
      </w:r>
      <w:r w:rsidR="005A21EC" w:rsidRPr="00C86B95">
        <w:rPr>
          <w:rFonts w:ascii="Times New Roman" w:hAnsi="Times New Roman" w:cs="Times New Roman"/>
          <w:sz w:val="20"/>
          <w:szCs w:val="20"/>
        </w:rPr>
        <w:t>a review</w:t>
      </w:r>
      <w:r w:rsidRPr="00C86B95">
        <w:rPr>
          <w:rFonts w:ascii="Times New Roman" w:hAnsi="Times New Roman" w:cs="Times New Roman"/>
          <w:sz w:val="20"/>
          <w:szCs w:val="20"/>
        </w:rPr>
        <w:t xml:space="preserve"> is needed. </w:t>
      </w:r>
      <w:r w:rsidR="00913856" w:rsidRPr="00C86B95">
        <w:rPr>
          <w:rFonts w:ascii="Times New Roman" w:hAnsi="Times New Roman" w:cs="Times New Roman"/>
          <w:sz w:val="20"/>
          <w:szCs w:val="20"/>
        </w:rPr>
        <w:t xml:space="preserve">Valuations are a result of comparing sold properties to unsold properties and attempting to equalize the figures. </w:t>
      </w:r>
      <w:r w:rsidRPr="00C86B95">
        <w:rPr>
          <w:rFonts w:ascii="Times New Roman" w:hAnsi="Times New Roman" w:cs="Times New Roman"/>
          <w:sz w:val="20"/>
          <w:szCs w:val="20"/>
        </w:rPr>
        <w:t xml:space="preserve">Some </w:t>
      </w:r>
      <w:r w:rsidR="00D8135E" w:rsidRPr="00C86B95">
        <w:rPr>
          <w:rFonts w:ascii="Times New Roman" w:hAnsi="Times New Roman" w:cs="Times New Roman"/>
          <w:sz w:val="20"/>
          <w:szCs w:val="20"/>
        </w:rPr>
        <w:t>county areas</w:t>
      </w:r>
      <w:r w:rsidRPr="00C86B95">
        <w:rPr>
          <w:rFonts w:ascii="Times New Roman" w:hAnsi="Times New Roman" w:cs="Times New Roman"/>
          <w:sz w:val="20"/>
          <w:szCs w:val="20"/>
        </w:rPr>
        <w:t xml:space="preserve"> or property </w:t>
      </w:r>
      <w:r w:rsidR="00D8135E" w:rsidRPr="00C86B95">
        <w:rPr>
          <w:rFonts w:ascii="Times New Roman" w:hAnsi="Times New Roman" w:cs="Times New Roman"/>
          <w:sz w:val="20"/>
          <w:szCs w:val="20"/>
        </w:rPr>
        <w:t>classes</w:t>
      </w:r>
      <w:r w:rsidRPr="00C86B95">
        <w:rPr>
          <w:rFonts w:ascii="Times New Roman" w:hAnsi="Times New Roman" w:cs="Times New Roman"/>
          <w:sz w:val="20"/>
          <w:szCs w:val="20"/>
        </w:rPr>
        <w:t xml:space="preserve"> change almost annually. There are several classes of property. They include residential, commercial, industrial and agricultural as the major groups. Land and improvements are considered separately. Those figures are combined </w:t>
      </w:r>
      <w:proofErr w:type="gramStart"/>
      <w:r w:rsidRPr="00C86B95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C86B95">
        <w:rPr>
          <w:rFonts w:ascii="Times New Roman" w:hAnsi="Times New Roman" w:cs="Times New Roman"/>
          <w:sz w:val="20"/>
          <w:szCs w:val="20"/>
        </w:rPr>
        <w:t xml:space="preserve"> the final taxable value, given to the County Treasurer. </w:t>
      </w:r>
    </w:p>
    <w:p w14:paraId="430221C0" w14:textId="77777777" w:rsidR="00AF6B85" w:rsidRPr="00C86B95" w:rsidRDefault="00AF6B85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0A649ED4" w14:textId="312ABE80" w:rsidR="00813C84" w:rsidRPr="00C86B95" w:rsidRDefault="00813C84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C86B95">
        <w:rPr>
          <w:rFonts w:ascii="Times New Roman" w:hAnsi="Times New Roman" w:cs="Times New Roman"/>
          <w:sz w:val="20"/>
          <w:szCs w:val="20"/>
        </w:rPr>
        <w:t xml:space="preserve">Tax collection is the County Treasurer’s duty. </w:t>
      </w:r>
      <w:r w:rsidR="00587FA8" w:rsidRPr="00C86B95">
        <w:rPr>
          <w:rFonts w:ascii="Times New Roman" w:hAnsi="Times New Roman" w:cs="Times New Roman"/>
          <w:sz w:val="20"/>
          <w:szCs w:val="20"/>
        </w:rPr>
        <w:t>Assessors</w:t>
      </w:r>
      <w:r w:rsidRPr="00C86B95">
        <w:rPr>
          <w:rFonts w:ascii="Times New Roman" w:hAnsi="Times New Roman" w:cs="Times New Roman"/>
          <w:sz w:val="20"/>
          <w:szCs w:val="20"/>
        </w:rPr>
        <w:t xml:space="preserve"> produce tax rolls with the valuations as the basis. Tax rates are compiled from tax budget requests from the many political subdivisions. The breakdown in tax dollars </w:t>
      </w:r>
      <w:proofErr w:type="gramStart"/>
      <w:r w:rsidRPr="00C86B95">
        <w:rPr>
          <w:rFonts w:ascii="Times New Roman" w:hAnsi="Times New Roman" w:cs="Times New Roman"/>
          <w:sz w:val="20"/>
          <w:szCs w:val="20"/>
        </w:rPr>
        <w:t>go</w:t>
      </w:r>
      <w:proofErr w:type="gramEnd"/>
      <w:r w:rsidRPr="00C86B95">
        <w:rPr>
          <w:rFonts w:ascii="Times New Roman" w:hAnsi="Times New Roman" w:cs="Times New Roman"/>
          <w:sz w:val="20"/>
          <w:szCs w:val="20"/>
        </w:rPr>
        <w:t xml:space="preserve"> mostly to education, then cities and counties. </w:t>
      </w:r>
    </w:p>
    <w:p w14:paraId="12109B3F" w14:textId="77777777" w:rsidR="007224C1" w:rsidRPr="00C86B95" w:rsidRDefault="007224C1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77500C38" w14:textId="5F3C3DD3" w:rsidR="007F7BB6" w:rsidRDefault="007224C1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 w:rsidRPr="00C86B95">
        <w:rPr>
          <w:rFonts w:ascii="Times New Roman" w:hAnsi="Times New Roman" w:cs="Times New Roman"/>
          <w:sz w:val="20"/>
          <w:szCs w:val="20"/>
        </w:rPr>
        <w:t xml:space="preserve">The valuation notices start the process of protesting to the </w:t>
      </w:r>
      <w:r w:rsidR="00C65AEE" w:rsidRPr="00C86B95">
        <w:rPr>
          <w:rFonts w:ascii="Times New Roman" w:hAnsi="Times New Roman" w:cs="Times New Roman"/>
          <w:sz w:val="20"/>
          <w:szCs w:val="20"/>
        </w:rPr>
        <w:t>C</w:t>
      </w:r>
      <w:r w:rsidRPr="00C86B95">
        <w:rPr>
          <w:rFonts w:ascii="Times New Roman" w:hAnsi="Times New Roman" w:cs="Times New Roman"/>
          <w:sz w:val="20"/>
          <w:szCs w:val="20"/>
        </w:rPr>
        <w:t xml:space="preserve">ounty </w:t>
      </w:r>
      <w:r w:rsidR="00C65AEE" w:rsidRPr="00C86B95">
        <w:rPr>
          <w:rFonts w:ascii="Times New Roman" w:hAnsi="Times New Roman" w:cs="Times New Roman"/>
          <w:sz w:val="20"/>
          <w:szCs w:val="20"/>
        </w:rPr>
        <w:t>B</w:t>
      </w:r>
      <w:r w:rsidRPr="00C86B95">
        <w:rPr>
          <w:rFonts w:ascii="Times New Roman" w:hAnsi="Times New Roman" w:cs="Times New Roman"/>
          <w:sz w:val="20"/>
          <w:szCs w:val="20"/>
        </w:rPr>
        <w:t xml:space="preserve">oard of </w:t>
      </w:r>
      <w:r w:rsidR="00C65AEE" w:rsidRPr="00C86B95">
        <w:rPr>
          <w:rFonts w:ascii="Times New Roman" w:hAnsi="Times New Roman" w:cs="Times New Roman"/>
          <w:sz w:val="20"/>
          <w:szCs w:val="20"/>
        </w:rPr>
        <w:t>E</w:t>
      </w:r>
      <w:r w:rsidRPr="00C86B95">
        <w:rPr>
          <w:rFonts w:ascii="Times New Roman" w:hAnsi="Times New Roman" w:cs="Times New Roman"/>
          <w:sz w:val="20"/>
          <w:szCs w:val="20"/>
        </w:rPr>
        <w:t>qualization in case of disagreement with those results. Property owners have the month of June to file a protest f</w:t>
      </w:r>
      <w:r w:rsidR="007D76D8">
        <w:rPr>
          <w:rFonts w:ascii="Times New Roman" w:hAnsi="Times New Roman" w:cs="Times New Roman"/>
          <w:sz w:val="20"/>
          <w:szCs w:val="20"/>
        </w:rPr>
        <w:t>or</w:t>
      </w:r>
      <w:r w:rsidRPr="00C86B95">
        <w:rPr>
          <w:rFonts w:ascii="Times New Roman" w:hAnsi="Times New Roman" w:cs="Times New Roman"/>
          <w:sz w:val="20"/>
          <w:szCs w:val="20"/>
        </w:rPr>
        <w:t xml:space="preserve">m with the County Clerk. </w:t>
      </w:r>
      <w:r w:rsidR="00F340C5">
        <w:rPr>
          <w:rFonts w:ascii="Times New Roman" w:hAnsi="Times New Roman" w:cs="Times New Roman"/>
          <w:sz w:val="20"/>
          <w:szCs w:val="20"/>
        </w:rPr>
        <w:t xml:space="preserve">If you have questions or </w:t>
      </w:r>
      <w:r w:rsidR="006F1C57">
        <w:rPr>
          <w:rFonts w:ascii="Times New Roman" w:hAnsi="Times New Roman" w:cs="Times New Roman"/>
          <w:sz w:val="20"/>
          <w:szCs w:val="20"/>
        </w:rPr>
        <w:t xml:space="preserve">want to review your property details with our </w:t>
      </w:r>
      <w:r w:rsidR="001F169B">
        <w:rPr>
          <w:rFonts w:ascii="Times New Roman" w:hAnsi="Times New Roman" w:cs="Times New Roman"/>
          <w:sz w:val="20"/>
          <w:szCs w:val="20"/>
        </w:rPr>
        <w:t>office,</w:t>
      </w:r>
      <w:r w:rsidR="005B2957">
        <w:rPr>
          <w:rFonts w:ascii="Times New Roman" w:hAnsi="Times New Roman" w:cs="Times New Roman"/>
          <w:sz w:val="20"/>
          <w:szCs w:val="20"/>
        </w:rPr>
        <w:t xml:space="preserve"> please stop </w:t>
      </w:r>
      <w:r w:rsidR="009B1236">
        <w:rPr>
          <w:rFonts w:ascii="Times New Roman" w:hAnsi="Times New Roman" w:cs="Times New Roman"/>
          <w:sz w:val="20"/>
          <w:szCs w:val="20"/>
        </w:rPr>
        <w:t>i</w:t>
      </w:r>
      <w:r w:rsidR="005B2957">
        <w:rPr>
          <w:rFonts w:ascii="Times New Roman" w:hAnsi="Times New Roman" w:cs="Times New Roman"/>
          <w:sz w:val="20"/>
          <w:szCs w:val="20"/>
        </w:rPr>
        <w:t xml:space="preserve">n or give us a call at </w:t>
      </w:r>
      <w:r w:rsidR="003B2E20">
        <w:rPr>
          <w:rFonts w:ascii="Times New Roman" w:hAnsi="Times New Roman" w:cs="Times New Roman"/>
          <w:sz w:val="20"/>
          <w:szCs w:val="20"/>
        </w:rPr>
        <w:t>308-324-3471</w:t>
      </w:r>
      <w:r w:rsidR="006F1C57">
        <w:rPr>
          <w:rFonts w:ascii="Times New Roman" w:hAnsi="Times New Roman" w:cs="Times New Roman"/>
          <w:sz w:val="20"/>
          <w:szCs w:val="20"/>
        </w:rPr>
        <w:t xml:space="preserve"> </w:t>
      </w:r>
      <w:r w:rsidRPr="00C86B95">
        <w:rPr>
          <w:rFonts w:ascii="Times New Roman" w:hAnsi="Times New Roman" w:cs="Times New Roman"/>
          <w:sz w:val="20"/>
          <w:szCs w:val="20"/>
        </w:rPr>
        <w:t xml:space="preserve">Hearings </w:t>
      </w:r>
      <w:r w:rsidR="003B2E20">
        <w:rPr>
          <w:rFonts w:ascii="Times New Roman" w:hAnsi="Times New Roman" w:cs="Times New Roman"/>
          <w:sz w:val="20"/>
          <w:szCs w:val="20"/>
        </w:rPr>
        <w:t xml:space="preserve">will be </w:t>
      </w:r>
      <w:r w:rsidRPr="00C86B95">
        <w:rPr>
          <w:rFonts w:ascii="Times New Roman" w:hAnsi="Times New Roman" w:cs="Times New Roman"/>
          <w:sz w:val="20"/>
          <w:szCs w:val="20"/>
        </w:rPr>
        <w:t>held in July.</w:t>
      </w:r>
    </w:p>
    <w:p w14:paraId="3A31D395" w14:textId="77777777" w:rsidR="007F0DDF" w:rsidRDefault="007F0DDF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18058ED4" w14:textId="59785A70" w:rsidR="007F0DDF" w:rsidRDefault="007F0DDF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</w:p>
    <w:p w14:paraId="0682E4DF" w14:textId="285603DC" w:rsidR="007F0DDF" w:rsidRDefault="004D3FC3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6DEE3AB" wp14:editId="2FD0DB4F">
            <wp:extent cx="1190625" cy="393512"/>
            <wp:effectExtent l="0" t="0" r="0" b="6985"/>
            <wp:docPr id="2065929512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29512" name="Picture 1" descr="A close up of a signatur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86" cy="39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2F01" w14:textId="39F91916" w:rsidR="007F0DDF" w:rsidRDefault="007F0DDF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Nic </w:t>
      </w:r>
      <w:proofErr w:type="spellStart"/>
      <w:r>
        <w:rPr>
          <w:rFonts w:ascii="Times New Roman" w:hAnsi="Times New Roman" w:cs="Times New Roman"/>
          <w:sz w:val="20"/>
          <w:szCs w:val="20"/>
        </w:rPr>
        <w:t>VanCura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EA8B6" w14:textId="1E6B944B" w:rsidR="007F0DDF" w:rsidRPr="00C86B95" w:rsidRDefault="006B4D33" w:rsidP="005669B9">
      <w:pPr>
        <w:spacing w:before="0" w:beforeAutospacing="0" w:after="0" w:afterAutospac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Dawson</w:t>
      </w:r>
      <w:r w:rsidR="007F0DDF">
        <w:rPr>
          <w:rFonts w:ascii="Times New Roman" w:hAnsi="Times New Roman" w:cs="Times New Roman"/>
          <w:sz w:val="20"/>
          <w:szCs w:val="20"/>
        </w:rPr>
        <w:t xml:space="preserve"> County Assessor</w:t>
      </w:r>
    </w:p>
    <w:sectPr w:rsidR="007F0DDF" w:rsidRPr="00C86B95" w:rsidSect="0071080E">
      <w:type w:val="continuous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7FAC" w14:textId="77777777" w:rsidR="007B2662" w:rsidRDefault="007B2662" w:rsidP="00856AE2">
      <w:pPr>
        <w:spacing w:before="0" w:after="0"/>
      </w:pPr>
      <w:r>
        <w:separator/>
      </w:r>
    </w:p>
  </w:endnote>
  <w:endnote w:type="continuationSeparator" w:id="0">
    <w:p w14:paraId="46DA0E5D" w14:textId="77777777" w:rsidR="007B2662" w:rsidRDefault="007B2662" w:rsidP="00856A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1934" w14:textId="3B2D5CEA" w:rsidR="00AE6A9F" w:rsidRPr="00D03BB6" w:rsidRDefault="00AE6A9F" w:rsidP="00726407">
    <w:pPr>
      <w:pStyle w:val="Footer"/>
      <w:pBdr>
        <w:top w:val="single" w:sz="4" w:space="1" w:color="auto"/>
      </w:pBdr>
      <w:rPr>
        <w:rFonts w:ascii="Times New Roman" w:hAnsi="Times New Roman" w:cs="Times New Roman"/>
      </w:rPr>
    </w:pPr>
    <w:r w:rsidRPr="00D03BB6">
      <w:rPr>
        <w:rFonts w:ascii="Times New Roman" w:hAnsi="Times New Roman" w:cs="Times New Roman"/>
      </w:rPr>
      <w:t>FAX: 308-324-</w:t>
    </w:r>
    <w:proofErr w:type="gramStart"/>
    <w:r w:rsidRPr="00D03BB6">
      <w:rPr>
        <w:rFonts w:ascii="Times New Roman" w:hAnsi="Times New Roman" w:cs="Times New Roman"/>
      </w:rPr>
      <w:t>9833</w:t>
    </w:r>
    <w:r>
      <w:rPr>
        <w:rFonts w:ascii="Times New Roman" w:hAnsi="Times New Roman" w:cs="Times New Roman"/>
      </w:rPr>
      <w:t xml:space="preserve">  </w:t>
    </w:r>
    <w:r w:rsidRPr="00D03BB6">
      <w:rPr>
        <w:rFonts w:ascii="Times New Roman" w:hAnsi="Times New Roman" w:cs="Times New Roman"/>
      </w:rPr>
      <w:tab/>
    </w:r>
    <w:proofErr w:type="gramEnd"/>
    <w:r w:rsidR="008E0329">
      <w:rPr>
        <w:rFonts w:ascii="Times New Roman" w:hAnsi="Times New Roman" w:cs="Times New Roman"/>
      </w:rPr>
      <w:tab/>
    </w:r>
    <w:r w:rsidRPr="00D03BB6">
      <w:rPr>
        <w:rFonts w:ascii="Times New Roman" w:hAnsi="Times New Roman" w:cs="Times New Roman"/>
      </w:rPr>
      <w:t>Phone: 308-324-3471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2CD9" w14:textId="77777777" w:rsidR="007B2662" w:rsidRDefault="007B2662" w:rsidP="00856AE2">
      <w:pPr>
        <w:spacing w:before="0" w:after="0"/>
      </w:pPr>
      <w:r>
        <w:separator/>
      </w:r>
    </w:p>
  </w:footnote>
  <w:footnote w:type="continuationSeparator" w:id="0">
    <w:p w14:paraId="0991B3CE" w14:textId="77777777" w:rsidR="007B2662" w:rsidRDefault="007B2662" w:rsidP="00856AE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96"/>
    <w:rsid w:val="00013728"/>
    <w:rsid w:val="0001554E"/>
    <w:rsid w:val="00024CA1"/>
    <w:rsid w:val="0003690B"/>
    <w:rsid w:val="0004216E"/>
    <w:rsid w:val="00046A74"/>
    <w:rsid w:val="000523C7"/>
    <w:rsid w:val="000565E6"/>
    <w:rsid w:val="000707E0"/>
    <w:rsid w:val="000937C2"/>
    <w:rsid w:val="000A5029"/>
    <w:rsid w:val="000A613E"/>
    <w:rsid w:val="000C2E9D"/>
    <w:rsid w:val="00105D08"/>
    <w:rsid w:val="00106659"/>
    <w:rsid w:val="001307EC"/>
    <w:rsid w:val="00130D22"/>
    <w:rsid w:val="001535F6"/>
    <w:rsid w:val="00162248"/>
    <w:rsid w:val="00187A84"/>
    <w:rsid w:val="00193480"/>
    <w:rsid w:val="001A1DF3"/>
    <w:rsid w:val="001C56A8"/>
    <w:rsid w:val="001E4218"/>
    <w:rsid w:val="001F169B"/>
    <w:rsid w:val="00200E5D"/>
    <w:rsid w:val="002149DD"/>
    <w:rsid w:val="00221914"/>
    <w:rsid w:val="002370D8"/>
    <w:rsid w:val="002449C4"/>
    <w:rsid w:val="00263B7D"/>
    <w:rsid w:val="00271225"/>
    <w:rsid w:val="00287712"/>
    <w:rsid w:val="00295D0F"/>
    <w:rsid w:val="002A27AC"/>
    <w:rsid w:val="002B127F"/>
    <w:rsid w:val="002B4A01"/>
    <w:rsid w:val="002C72BB"/>
    <w:rsid w:val="002E3B4D"/>
    <w:rsid w:val="002F1AB5"/>
    <w:rsid w:val="00300DA1"/>
    <w:rsid w:val="00333BF1"/>
    <w:rsid w:val="00341E21"/>
    <w:rsid w:val="00345016"/>
    <w:rsid w:val="00347D95"/>
    <w:rsid w:val="00366BF9"/>
    <w:rsid w:val="00366EA1"/>
    <w:rsid w:val="0036793B"/>
    <w:rsid w:val="00367FE9"/>
    <w:rsid w:val="00380501"/>
    <w:rsid w:val="003A1597"/>
    <w:rsid w:val="003A6CA0"/>
    <w:rsid w:val="003B2E20"/>
    <w:rsid w:val="003B31CE"/>
    <w:rsid w:val="003C2FAA"/>
    <w:rsid w:val="003C370D"/>
    <w:rsid w:val="003C41B4"/>
    <w:rsid w:val="003C5786"/>
    <w:rsid w:val="003D4311"/>
    <w:rsid w:val="003D47CE"/>
    <w:rsid w:val="003F1326"/>
    <w:rsid w:val="003F196E"/>
    <w:rsid w:val="00401348"/>
    <w:rsid w:val="00404D84"/>
    <w:rsid w:val="004211F5"/>
    <w:rsid w:val="004237D6"/>
    <w:rsid w:val="004273EE"/>
    <w:rsid w:val="004320AD"/>
    <w:rsid w:val="00432F8E"/>
    <w:rsid w:val="00445EBB"/>
    <w:rsid w:val="00451BF7"/>
    <w:rsid w:val="00464726"/>
    <w:rsid w:val="004872F4"/>
    <w:rsid w:val="004878AE"/>
    <w:rsid w:val="004A5235"/>
    <w:rsid w:val="004B410B"/>
    <w:rsid w:val="004C0A4E"/>
    <w:rsid w:val="004D0C4D"/>
    <w:rsid w:val="004D3FC3"/>
    <w:rsid w:val="00503EAF"/>
    <w:rsid w:val="00510F40"/>
    <w:rsid w:val="005216CF"/>
    <w:rsid w:val="00526C6D"/>
    <w:rsid w:val="00526F0D"/>
    <w:rsid w:val="00543B99"/>
    <w:rsid w:val="00544A1B"/>
    <w:rsid w:val="00544D13"/>
    <w:rsid w:val="0055153D"/>
    <w:rsid w:val="005669B9"/>
    <w:rsid w:val="00572494"/>
    <w:rsid w:val="00574655"/>
    <w:rsid w:val="00575C7C"/>
    <w:rsid w:val="00582040"/>
    <w:rsid w:val="00587FA8"/>
    <w:rsid w:val="00590059"/>
    <w:rsid w:val="00597123"/>
    <w:rsid w:val="005A21EC"/>
    <w:rsid w:val="005A2EC4"/>
    <w:rsid w:val="005A345F"/>
    <w:rsid w:val="005A5150"/>
    <w:rsid w:val="005B2957"/>
    <w:rsid w:val="005C5D86"/>
    <w:rsid w:val="005D751E"/>
    <w:rsid w:val="005E00B3"/>
    <w:rsid w:val="00615CB2"/>
    <w:rsid w:val="006203CC"/>
    <w:rsid w:val="006422B9"/>
    <w:rsid w:val="00656956"/>
    <w:rsid w:val="00685326"/>
    <w:rsid w:val="006940EE"/>
    <w:rsid w:val="006B32BF"/>
    <w:rsid w:val="006B4D33"/>
    <w:rsid w:val="006C496E"/>
    <w:rsid w:val="006F1C57"/>
    <w:rsid w:val="006F608A"/>
    <w:rsid w:val="00701A2A"/>
    <w:rsid w:val="0071080E"/>
    <w:rsid w:val="00715929"/>
    <w:rsid w:val="007214CB"/>
    <w:rsid w:val="007224C1"/>
    <w:rsid w:val="00726407"/>
    <w:rsid w:val="007462E1"/>
    <w:rsid w:val="00754284"/>
    <w:rsid w:val="00786BB9"/>
    <w:rsid w:val="00790664"/>
    <w:rsid w:val="00796621"/>
    <w:rsid w:val="007B2662"/>
    <w:rsid w:val="007B7BE8"/>
    <w:rsid w:val="007C0103"/>
    <w:rsid w:val="007C0798"/>
    <w:rsid w:val="007C1D9A"/>
    <w:rsid w:val="007D6F49"/>
    <w:rsid w:val="007D755C"/>
    <w:rsid w:val="007D76D8"/>
    <w:rsid w:val="007E0154"/>
    <w:rsid w:val="007E28DF"/>
    <w:rsid w:val="007F0DDF"/>
    <w:rsid w:val="007F2194"/>
    <w:rsid w:val="007F7BB6"/>
    <w:rsid w:val="00813C84"/>
    <w:rsid w:val="00815AC6"/>
    <w:rsid w:val="00820068"/>
    <w:rsid w:val="0083017F"/>
    <w:rsid w:val="008334C3"/>
    <w:rsid w:val="00837451"/>
    <w:rsid w:val="00846554"/>
    <w:rsid w:val="008532A8"/>
    <w:rsid w:val="008551C1"/>
    <w:rsid w:val="00856AE2"/>
    <w:rsid w:val="00860AA8"/>
    <w:rsid w:val="00866EDC"/>
    <w:rsid w:val="008C79B1"/>
    <w:rsid w:val="008D0A6B"/>
    <w:rsid w:val="008E0329"/>
    <w:rsid w:val="008E1160"/>
    <w:rsid w:val="008E640C"/>
    <w:rsid w:val="008F21A1"/>
    <w:rsid w:val="00901646"/>
    <w:rsid w:val="00913856"/>
    <w:rsid w:val="009216A9"/>
    <w:rsid w:val="00932F88"/>
    <w:rsid w:val="00947485"/>
    <w:rsid w:val="009744BD"/>
    <w:rsid w:val="009B1236"/>
    <w:rsid w:val="009E686F"/>
    <w:rsid w:val="009F77A2"/>
    <w:rsid w:val="00A012F4"/>
    <w:rsid w:val="00A236CE"/>
    <w:rsid w:val="00A24D61"/>
    <w:rsid w:val="00A25212"/>
    <w:rsid w:val="00A320AE"/>
    <w:rsid w:val="00A37356"/>
    <w:rsid w:val="00A475A8"/>
    <w:rsid w:val="00A67D6F"/>
    <w:rsid w:val="00A70040"/>
    <w:rsid w:val="00A920D3"/>
    <w:rsid w:val="00AA124C"/>
    <w:rsid w:val="00AB2976"/>
    <w:rsid w:val="00AD0F2E"/>
    <w:rsid w:val="00AE1BB5"/>
    <w:rsid w:val="00AE3213"/>
    <w:rsid w:val="00AE6A9F"/>
    <w:rsid w:val="00AF6B85"/>
    <w:rsid w:val="00B05DBE"/>
    <w:rsid w:val="00B15D9B"/>
    <w:rsid w:val="00B37211"/>
    <w:rsid w:val="00B63142"/>
    <w:rsid w:val="00B70435"/>
    <w:rsid w:val="00B7230E"/>
    <w:rsid w:val="00B777F3"/>
    <w:rsid w:val="00BB0EFD"/>
    <w:rsid w:val="00BB595B"/>
    <w:rsid w:val="00BC6791"/>
    <w:rsid w:val="00C05B45"/>
    <w:rsid w:val="00C21F14"/>
    <w:rsid w:val="00C30E1E"/>
    <w:rsid w:val="00C40C79"/>
    <w:rsid w:val="00C45992"/>
    <w:rsid w:val="00C65AEE"/>
    <w:rsid w:val="00C80721"/>
    <w:rsid w:val="00C80883"/>
    <w:rsid w:val="00C86B95"/>
    <w:rsid w:val="00CE5475"/>
    <w:rsid w:val="00D02BF1"/>
    <w:rsid w:val="00D03BB6"/>
    <w:rsid w:val="00D070E0"/>
    <w:rsid w:val="00D2250F"/>
    <w:rsid w:val="00D26558"/>
    <w:rsid w:val="00D3747C"/>
    <w:rsid w:val="00D41AE0"/>
    <w:rsid w:val="00D573EE"/>
    <w:rsid w:val="00D8135E"/>
    <w:rsid w:val="00D837EA"/>
    <w:rsid w:val="00D93B7A"/>
    <w:rsid w:val="00D95AD6"/>
    <w:rsid w:val="00D9796B"/>
    <w:rsid w:val="00DA6908"/>
    <w:rsid w:val="00DB0FEE"/>
    <w:rsid w:val="00DB3C0A"/>
    <w:rsid w:val="00DB4024"/>
    <w:rsid w:val="00DB713D"/>
    <w:rsid w:val="00DC550E"/>
    <w:rsid w:val="00DF3C96"/>
    <w:rsid w:val="00E24E82"/>
    <w:rsid w:val="00E272BD"/>
    <w:rsid w:val="00E46314"/>
    <w:rsid w:val="00E4762D"/>
    <w:rsid w:val="00E47B37"/>
    <w:rsid w:val="00E52433"/>
    <w:rsid w:val="00E52466"/>
    <w:rsid w:val="00E8083A"/>
    <w:rsid w:val="00E828FB"/>
    <w:rsid w:val="00E84AD1"/>
    <w:rsid w:val="00EB0ACA"/>
    <w:rsid w:val="00EC6AD9"/>
    <w:rsid w:val="00F04EE0"/>
    <w:rsid w:val="00F11D1E"/>
    <w:rsid w:val="00F14205"/>
    <w:rsid w:val="00F32365"/>
    <w:rsid w:val="00F340C5"/>
    <w:rsid w:val="00F370ED"/>
    <w:rsid w:val="00F37D45"/>
    <w:rsid w:val="00F413D5"/>
    <w:rsid w:val="00F43136"/>
    <w:rsid w:val="00F4673F"/>
    <w:rsid w:val="00F6085F"/>
    <w:rsid w:val="00F75AA9"/>
    <w:rsid w:val="00F90F42"/>
    <w:rsid w:val="00FA6D34"/>
    <w:rsid w:val="00FC0CBA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98FC1"/>
  <w15:docId w15:val="{6F4E693F-D7F2-46F5-B7D1-5CBB644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103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856AE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AE2"/>
  </w:style>
  <w:style w:type="paragraph" w:styleId="Footer">
    <w:name w:val="footer"/>
    <w:basedOn w:val="Normal"/>
    <w:link w:val="FooterChar"/>
    <w:uiPriority w:val="99"/>
    <w:unhideWhenUsed/>
    <w:rsid w:val="00856AE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AE2"/>
  </w:style>
  <w:style w:type="paragraph" w:styleId="BalloonText">
    <w:name w:val="Balloon Text"/>
    <w:basedOn w:val="Normal"/>
    <w:link w:val="BalloonTextChar"/>
    <w:uiPriority w:val="99"/>
    <w:semiHidden/>
    <w:unhideWhenUsed/>
    <w:rsid w:val="00856A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0DD05D0237445B39F9B8DD8704ECE" ma:contentTypeVersion="16" ma:contentTypeDescription="Create a new document." ma:contentTypeScope="" ma:versionID="9314a1838e287de85f3315ca1a23dde0">
  <xsd:schema xmlns:xsd="http://www.w3.org/2001/XMLSchema" xmlns:xs="http://www.w3.org/2001/XMLSchema" xmlns:p="http://schemas.microsoft.com/office/2006/metadata/properties" xmlns:ns3="f4b0d250-ac64-4736-bfa4-b4a5cb58e7e9" xmlns:ns4="84a20ab5-ff3e-4f3a-8285-f91f0040b086" targetNamespace="http://schemas.microsoft.com/office/2006/metadata/properties" ma:root="true" ma:fieldsID="dbf2797d660d4ace01321db8fbc3af1c" ns3:_="" ns4:_="">
    <xsd:import namespace="f4b0d250-ac64-4736-bfa4-b4a5cb58e7e9"/>
    <xsd:import namespace="84a20ab5-ff3e-4f3a-8285-f91f0040b0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0d250-ac64-4736-bfa4-b4a5cb58e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0ab5-ff3e-4f3a-8285-f91f0040b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b0d250-ac64-4736-bfa4-b4a5cb58e7e9" xsi:nil="true"/>
  </documentManagement>
</p:properties>
</file>

<file path=customXml/itemProps1.xml><?xml version="1.0" encoding="utf-8"?>
<ds:datastoreItem xmlns:ds="http://schemas.openxmlformats.org/officeDocument/2006/customXml" ds:itemID="{C75C82C3-D79F-447F-9DDE-849A33D4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5B147-62B8-49D4-8B12-4BF1BBB74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0d250-ac64-4736-bfa4-b4a5cb58e7e9"/>
    <ds:schemaRef ds:uri="84a20ab5-ff3e-4f3a-8285-f91f0040b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F6FE8-4B0D-42EE-9F3B-A6B7A925A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0166E-453D-44A1-A8F6-C49ACD00F1FA}">
  <ds:schemaRefs>
    <ds:schemaRef ds:uri="http://schemas.microsoft.com/office/2006/metadata/properties"/>
    <ds:schemaRef ds:uri="http://schemas.microsoft.com/office/infopath/2007/PartnerControls"/>
    <ds:schemaRef ds:uri="f4b0d250-ac64-4736-bfa4-b4a5cb58e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Moore</dc:creator>
  <cp:keywords/>
  <dc:description/>
  <cp:lastModifiedBy>Nic Vancura</cp:lastModifiedBy>
  <cp:revision>3</cp:revision>
  <cp:lastPrinted>2026-05-15T13:25:00Z</cp:lastPrinted>
  <dcterms:created xsi:type="dcterms:W3CDTF">2026-06-01T16:47:00Z</dcterms:created>
  <dcterms:modified xsi:type="dcterms:W3CDTF">2026-06-01T17:07:00Z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0x010100A360DD05D0237445B39F9B8DD8704ECE</vt:lpwstr>
  </property>
</Properties>
</file>